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sz w:val="24"/>
          <w:lang w:val="en-US" w:eastAsia="zh-CN"/>
        </w:rPr>
      </w:pPr>
      <w:r>
        <w:rPr>
          <w:b/>
          <w:sz w:val="24"/>
        </w:rPr>
        <w:t>3GPP TSG RAN Meeting #</w:t>
      </w:r>
      <w:r>
        <w:rPr>
          <w:b/>
          <w:sz w:val="24"/>
          <w:lang w:val="en-US"/>
        </w:rPr>
        <w:t>10</w:t>
      </w:r>
      <w:r>
        <w:rPr>
          <w:rFonts w:hint="eastAsia"/>
          <w:b/>
          <w:sz w:val="24"/>
          <w:lang w:val="en-US" w:eastAsia="zh-CN"/>
        </w:rPr>
        <w:t>1</w:t>
      </w:r>
      <w:r>
        <w:rPr>
          <w:b/>
          <w:sz w:val="24"/>
        </w:rPr>
        <w:tab/>
      </w:r>
      <w:r>
        <w:rPr>
          <w:b/>
          <w:sz w:val="24"/>
          <w:highlight w:val="none"/>
        </w:rPr>
        <w:t>RP</w:t>
      </w:r>
      <w:r>
        <w:rPr>
          <w:rFonts w:hint="eastAsia"/>
          <w:b/>
          <w:sz w:val="24"/>
          <w:highlight w:val="none"/>
          <w:lang w:val="en-US"/>
        </w:rPr>
        <w:t>-23</w:t>
      </w:r>
      <w:r>
        <w:rPr>
          <w:rFonts w:hint="eastAsia"/>
          <w:b/>
          <w:sz w:val="24"/>
          <w:highlight w:val="none"/>
          <w:lang w:val="en-US" w:eastAsia="zh-CN"/>
        </w:rPr>
        <w:t>2244</w:t>
      </w:r>
    </w:p>
    <w:p>
      <w:pPr>
        <w:pStyle w:val="104"/>
        <w:tabs>
          <w:tab w:val="right" w:pos="9639"/>
        </w:tabs>
        <w:spacing w:after="0"/>
        <w:rPr>
          <w:b/>
          <w:sz w:val="24"/>
        </w:rPr>
      </w:pPr>
      <w:r>
        <w:rPr>
          <w:rFonts w:hint="eastAsia"/>
          <w:b/>
          <w:sz w:val="24"/>
          <w:lang w:val="en-US"/>
        </w:rPr>
        <w:t>Bangalore</w:t>
      </w:r>
      <w:r>
        <w:rPr>
          <w:b/>
          <w:sz w:val="24"/>
          <w:lang w:val="en-US"/>
        </w:rPr>
        <w:t xml:space="preserve">, </w:t>
      </w:r>
      <w:r>
        <w:rPr>
          <w:rFonts w:hint="eastAsia"/>
          <w:b/>
          <w:sz w:val="24"/>
          <w:lang w:val="en-US" w:eastAsia="zh-CN"/>
        </w:rPr>
        <w:t>India</w:t>
      </w:r>
      <w:r>
        <w:rPr>
          <w:b/>
          <w:sz w:val="24"/>
          <w:lang w:val="en-US"/>
        </w:rPr>
        <w:t>,</w:t>
      </w:r>
      <w:r>
        <w:rPr>
          <w:rFonts w:hint="eastAsia"/>
          <w:b/>
          <w:sz w:val="24"/>
        </w:rPr>
        <w:t xml:space="preserve"> </w:t>
      </w:r>
      <w:r>
        <w:rPr>
          <w:rFonts w:hint="eastAsia"/>
          <w:b/>
          <w:sz w:val="24"/>
          <w:lang w:val="en-US" w:eastAsia="zh-CN"/>
        </w:rPr>
        <w:t>Sept</w:t>
      </w:r>
      <w:r>
        <w:rPr>
          <w:rFonts w:hint="eastAsia"/>
          <w:b/>
          <w:sz w:val="24"/>
        </w:rPr>
        <w:t xml:space="preserve"> </w:t>
      </w:r>
      <w:r>
        <w:rPr>
          <w:b/>
          <w:sz w:val="24"/>
          <w:lang w:val="en-US"/>
        </w:rPr>
        <w:t>1</w:t>
      </w:r>
      <w:r>
        <w:rPr>
          <w:rFonts w:hint="eastAsia"/>
          <w:b/>
          <w:sz w:val="24"/>
          <w:lang w:val="en-US" w:eastAsia="zh-CN"/>
        </w:rPr>
        <w:t>1</w:t>
      </w:r>
      <w:r>
        <w:rPr>
          <w:rFonts w:hint="eastAsia"/>
          <w:b/>
          <w:sz w:val="24"/>
        </w:rPr>
        <w:t xml:space="preserve"> - </w:t>
      </w:r>
      <w:r>
        <w:rPr>
          <w:b/>
          <w:sz w:val="24"/>
          <w:lang w:val="en-US"/>
        </w:rPr>
        <w:t>1</w:t>
      </w:r>
      <w:r>
        <w:rPr>
          <w:rFonts w:hint="eastAsia"/>
          <w:b/>
          <w:sz w:val="24"/>
          <w:lang w:val="en-US" w:eastAsia="zh-CN"/>
        </w:rPr>
        <w:t>5</w:t>
      </w:r>
      <w:r>
        <w:rPr>
          <w:rFonts w:hint="eastAsia"/>
          <w:b/>
          <w:sz w:val="24"/>
        </w:rPr>
        <w:t>, 202</w:t>
      </w:r>
      <w:r>
        <w:rPr>
          <w:b/>
          <w:sz w:val="24"/>
          <w:lang w:val="en-US"/>
        </w:rPr>
        <w:t>3</w:t>
      </w:r>
      <w:r>
        <w:rPr>
          <w:b/>
          <w:sz w:val="24"/>
        </w:rPr>
        <w:tab/>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w:t>
      </w:r>
      <w:r>
        <w:rPr>
          <w:rFonts w:ascii="Arial" w:hAnsi="Arial" w:cs="Arial"/>
        </w:rPr>
        <w:t>.</w:t>
      </w:r>
      <w:r>
        <w:rPr>
          <w:rFonts w:hint="eastAsia" w:ascii="Arial" w:hAnsi="Arial" w:eastAsia="宋体" w:cs="Arial"/>
          <w:lang w:val="en-US" w:eastAsia="zh-CN"/>
        </w:rPr>
        <w:t>4</w:t>
      </w:r>
      <w:r>
        <w:rPr>
          <w:rFonts w:ascii="Arial" w:hAnsi="Arial" w:cs="Arial"/>
        </w:rPr>
        <w:t>.</w:t>
      </w:r>
      <w:r>
        <w:rPr>
          <w:rFonts w:hint="eastAsia" w:ascii="Arial" w:hAnsi="Arial" w:eastAsia="宋体" w:cs="Arial"/>
          <w:lang w:val="en-US" w:eastAsia="zh-CN"/>
        </w:rPr>
        <w:t>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NB-IoT (Narrowband IoT)/eMTC (enhanced Machine Type Communication) core &amp; performance requirements for Non-Terrestrial Networks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LTE_NBIOT_eMTC_NTN_req-UEConTest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981034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fldChar w:fldCharType="begin"/>
            </w:r>
            <w:r>
              <w:instrText xml:space="preserve"> HYPERLINK "http://www.3gpp.org/ftp/tsg_ran/TSG_RAN/TSGR_96/Docs/RP-223064.zip" </w:instrText>
            </w:r>
            <w:r>
              <w:fldChar w:fldCharType="separate"/>
            </w:r>
            <w:r>
              <w:rPr>
                <w:rStyle w:val="57"/>
                <w:rFonts w:ascii="Arial" w:hAnsi="Arial" w:cs="Arial"/>
                <w:lang w:val="en-US" w:eastAsia="ja-JP"/>
              </w:rPr>
              <w:t>RP-223064</w:t>
            </w:r>
            <w:r>
              <w:rPr>
                <w:rStyle w:val="57"/>
                <w:rFonts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ascii="Arial" w:hAnsi="Arial" w:eastAsia="宋体" w:cs="Arial"/>
                <w:color w:val="00B050"/>
                <w:kern w:val="2"/>
                <w:sz w:val="21"/>
                <w:szCs w:val="22"/>
                <w:lang w:val="en-US"/>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ascii="Arial" w:hAnsi="Arial" w:eastAsia="宋体" w:cs="Arial"/>
                <w:color w:val="00B050"/>
                <w:kern w:val="2"/>
                <w:sz w:val="21"/>
                <w:szCs w:val="22"/>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46</w:t>
            </w:r>
            <w:r>
              <w:rPr>
                <w:rFonts w:ascii="Arial" w:hAnsi="Arial" w:eastAsia="宋体" w:cs="Arial"/>
                <w:color w:val="00B050"/>
                <w:kern w:val="2"/>
                <w:sz w:val="21"/>
                <w:szCs w:val="22"/>
                <w:highlight w:val="none"/>
                <w:lang w:eastAsia="ja-JP"/>
              </w:rPr>
              <w:t>%</w:t>
            </w:r>
            <w:r>
              <w:rPr>
                <w:rFonts w:hint="eastAsia" w:ascii="Arial" w:hAnsi="Arial" w:eastAsia="宋体" w:cs="Arial"/>
                <w:color w:val="00B050"/>
                <w:kern w:val="2"/>
                <w:sz w:val="21"/>
                <w:szCs w:val="22"/>
                <w:highlight w:val="none"/>
                <w:lang w:val="en-US"/>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ascii="Arial" w:hAnsi="Arial" w:cs="Arial"/>
                <w:lang w:val="en-US"/>
              </w:rPr>
              <w:t>,</w:t>
            </w:r>
            <w:r>
              <w:rPr>
                <w:rFonts w:hint="eastAsia" w:ascii="Arial" w:hAnsi="Arial" w:cs="Arial"/>
              </w:rPr>
              <w:t xml:space="preserve"> Danbo Fu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 MediaTek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"file:///D:\\工作\\项目资料\\2013-2017%20标准化会议\\2017-2019%203GPP标准化\\RAN5\\2018-2023%20RAN5会议\\%2399-2023年5月@Incheon,%20South%20Korea\\CMCC文稿-52篇\\36%25（+9%25）-R18%20LTE_IoT_NTN_req-UEConTest%20-%208篇\\Danbo.Fu@mediatek.com" </w:instrText>
            </w:r>
            <w:r>
              <w:fldChar w:fldCharType="separate"/>
            </w:r>
            <w:r>
              <w:rPr>
                <w:rStyle w:val="57"/>
                <w:rFonts w:ascii="Arial" w:hAnsi="Arial" w:cs="Arial"/>
                <w:lang w:val="en-US"/>
              </w:rPr>
              <w:t>Danbo.Fu@mediatek.com</w:t>
            </w:r>
            <w:r>
              <w:rPr>
                <w:rStyle w:val="57"/>
                <w:rFonts w:ascii="Arial" w:hAnsi="Arial" w:cs="Arial"/>
                <w:lang w:val="en-US"/>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RAN5#9</w:t>
      </w:r>
      <w:r>
        <w:rPr>
          <w:rFonts w:ascii="Arial" w:hAnsi="Arial" w:cs="Arial" w:eastAsiaTheme="minorEastAsia"/>
          <w:highlight w:val="none"/>
          <w:lang w:val="en-US"/>
        </w:rPr>
        <w:t>9</w:t>
      </w:r>
      <w:r>
        <w:rPr>
          <w:rFonts w:ascii="Arial" w:hAnsi="Arial" w:cs="Arial"/>
          <w:highlight w:val="none"/>
        </w:rPr>
        <w:t xml:space="preserve"> (the details can be found in </w:t>
      </w:r>
      <w:r>
        <w:rPr>
          <w:rFonts w:hint="eastAsia" w:ascii="Arial" w:hAnsi="Arial" w:cs="Arial"/>
          <w:highlight w:val="none"/>
          <w:lang w:eastAsia="ja-JP"/>
        </w:rPr>
        <w:t>R5-23</w:t>
      </w:r>
      <w:r>
        <w:rPr>
          <w:rFonts w:hint="eastAsia" w:ascii="Arial" w:hAnsi="Arial" w:eastAsia="宋体" w:cs="Arial"/>
          <w:highlight w:val="none"/>
          <w:lang w:val="en-US" w:eastAsia="zh-CN"/>
        </w:rPr>
        <w:t>5453</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46</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u w:val="single"/>
          <w:lang w:val="en-US" w:eastAsia="zh-CN"/>
        </w:rPr>
        <w:t>62% completeness achieved for NB-IoT NTN.</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 xml:space="preserve">as </w:t>
      </w:r>
      <w:r>
        <w:rPr>
          <w:rFonts w:hint="eastAsia" w:ascii="Arial" w:hAnsi="Arial" w:cs="Arial" w:eastAsiaTheme="minorEastAsia"/>
          <w:highlight w:val="none"/>
        </w:rPr>
        <w:t>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RF/Demod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74</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TT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rPr>
        <w:t>as</w:t>
      </w:r>
      <w:r>
        <w:rPr>
          <w:rFonts w:ascii="Arial" w:hAnsi="Arial" w:cs="Arial"/>
          <w:highlight w:val="none"/>
        </w:rPr>
        <w:t xml:space="preserve"> agreed</w:t>
      </w:r>
      <w:r>
        <w:rPr>
          <w:rFonts w:hint="eastAsia" w:ascii="Arial" w:hAnsi="Arial" w:cs="Arial" w:eastAsiaTheme="minorEastAsia"/>
          <w:highlight w:val="none"/>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tabs>
          <w:tab w:val="left" w:pos="3162"/>
        </w:tabs>
        <w:rPr>
          <w:rFonts w:hint="eastAsia" w:eastAsia="宋体"/>
          <w:lang w:eastAsia="zh-CN"/>
        </w:rPr>
      </w:pPr>
      <w:r>
        <w:rPr>
          <w:lang w:eastAsia="ja-JP"/>
        </w:rPr>
        <w:t>2.6</w:t>
      </w:r>
      <w:r>
        <w:rPr>
          <w:lang w:eastAsia="ja-JP"/>
        </w:rPr>
        <w:tab/>
      </w:r>
      <w:r>
        <w:rPr>
          <w:rFonts w:hint="eastAsia"/>
          <w:lang w:eastAsia="ja-JP"/>
        </w:rPr>
        <w:t>RAN6</w:t>
      </w:r>
      <w:r>
        <w:rPr>
          <w:rFonts w:hint="eastAsia" w:eastAsia="宋体"/>
          <w:lang w:eastAsia="zh-CN"/>
        </w:rPr>
        <w:tab/>
      </w:r>
      <w:bookmarkStart w:id="0" w:name="_GoBack"/>
      <w:bookmarkEnd w:id="0"/>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5453</w:t>
      </w:r>
      <w:r>
        <w:rPr>
          <w:rFonts w:ascii="Arial" w:hAnsi="Arial" w:cs="Arial" w:eastAsiaTheme="minorEastAsia"/>
          <w:highlight w:val="none"/>
          <w:lang w:val="en-US"/>
        </w:rPr>
        <w:t xml:space="preserve"> </w:t>
      </w:r>
      <w:r>
        <w:rPr>
          <w:rFonts w:hint="eastAsia" w:ascii="Arial" w:hAnsi="Arial" w:cs="Arial" w:eastAsiaTheme="minorEastAsia"/>
          <w:highlight w:val="none"/>
        </w:rPr>
        <w:t>WP Rel-18 NB-IoT_eMTC NTN after RAN5#</w:t>
      </w:r>
      <w:r>
        <w:rPr>
          <w:rFonts w:hint="eastAsia" w:ascii="Arial" w:hAnsi="Arial" w:cs="Arial" w:eastAsiaTheme="minorEastAsia"/>
          <w:highlight w:val="none"/>
          <w:lang w:val="en-US" w:eastAsia="zh-CN"/>
        </w:rPr>
        <w:t>100</w:t>
      </w:r>
      <w:r>
        <w:rPr>
          <w:rFonts w:hint="eastAsia" w:ascii="Arial" w:hAnsi="Arial" w:cs="Arial" w:eastAsiaTheme="minorEastAsia"/>
          <w:highlight w:val="none"/>
        </w:rPr>
        <w:t>,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R5-234756</w:t>
      </w:r>
      <w:r>
        <w:rPr>
          <w:rFonts w:ascii="Arial" w:hAnsi="Arial" w:cs="Arial" w:eastAsiaTheme="minorEastAsia"/>
          <w:highlight w:val="none"/>
          <w:lang w:val="en-US"/>
        </w:rPr>
        <w:t xml:space="preserve"> Disc on handling of R18 IoT NTN TCs in 36521-4, </w:t>
      </w:r>
      <w:r>
        <w:rPr>
          <w:rFonts w:hint="eastAsia" w:ascii="Arial" w:hAnsi="Arial" w:cs="Arial" w:eastAsiaTheme="minorEastAsia"/>
          <w:highlight w:val="none"/>
          <w:lang w:val="en-US"/>
        </w:rPr>
        <w:t>CMCC, Mediatek, Keysight, Thales, Google, China Telecom</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R5-235184</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On Measurement uncertainties and test tolerances for IoT NTN Tx-Rx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Keysight Technologies UK Ltd</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R5-235945</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Delays in IoT NTN communications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Keysight Technologies UK Ltd</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R5-235192</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On Editor's note clean-up</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Keysight Technologies UK Ltd</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R5-235817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LS on applicability of DEMOD and CSI requirements for IoT-NTN UE, 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08</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R5-235956</w:t>
      </w:r>
      <w:r>
        <w:rPr>
          <w:rFonts w:ascii="Arial" w:hAnsi="Arial" w:cs="Arial" w:eastAsiaTheme="minorEastAsia"/>
          <w:highlight w:val="none"/>
          <w:lang w:val="en-US"/>
        </w:rPr>
        <w:t xml:space="preserve"> </w:t>
      </w:r>
      <w:r>
        <w:rPr>
          <w:rFonts w:hint="eastAsia" w:ascii="Arial" w:hAnsi="Arial" w:cs="Arial" w:eastAsiaTheme="minorEastAsia"/>
          <w:highlight w:val="none"/>
        </w:rPr>
        <w:t>SystemInformationBlockType31-NB updates for RF conformance testing, Keysight Technologies UK Ltd</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R5-233888</w:t>
      </w:r>
      <w:r>
        <w:rPr>
          <w:rFonts w:ascii="Arial" w:hAnsi="Arial" w:cs="Arial" w:eastAsiaTheme="minorEastAsia"/>
          <w:highlight w:val="none"/>
          <w:lang w:val="en-US"/>
        </w:rPr>
        <w:t xml:space="preserve"> </w:t>
      </w:r>
      <w:r>
        <w:rPr>
          <w:rFonts w:hint="eastAsia" w:ascii="Arial" w:hAnsi="Arial" w:cs="Arial" w:eastAsiaTheme="minorEastAsia"/>
          <w:highlight w:val="none"/>
        </w:rPr>
        <w:t>Add PICS and test applicability for NB-IOT NTN RRM new cases., MediaTek Beijing Inc.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R5-235758</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13.4.3.1 RLM for OOS with DRX in normal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13.4.3.2 RLM for OOS with DRX in enhanced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13.4.3.3 RLM for IS with DRX in enhanced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13.4.3.4 RLM for IS with DRX in normal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13.4.3.5 RLM for IS without DRX in normal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13.4.3.6 RLM for IS without DRX in enhanced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13.4.3.7 RLM for OOS without DRX in normal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13.4.3.8 RLM for OOS without DRX in enhanced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R5-235759</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13.4.2.1 for TA adjustment accuracy test in normal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R5-235770</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13.4.2.2 for TA adjustment accuracy test in enhanced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13.4.1.1 for Transmit Timing Accuracy test in normal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13.4.1.2 for Transmit Timing Accuracy test in enhanced coverage,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13.4.1.3 for Transmit Timing Accuracy test under enhanced coverage with segment transmission in NGSO.,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R5-235760</w:t>
      </w:r>
      <w:r>
        <w:rPr>
          <w:rFonts w:ascii="Arial" w:hAnsi="Arial" w:cs="Arial" w:eastAsiaTheme="minorEastAsia"/>
          <w:highlight w:val="none"/>
          <w:lang w:val="en-US"/>
        </w:rPr>
        <w:t xml:space="preserve"> </w:t>
      </w:r>
      <w:r>
        <w:rPr>
          <w:rFonts w:hint="eastAsia" w:ascii="Arial" w:hAnsi="Arial" w:cs="Arial" w:eastAsiaTheme="minorEastAsia"/>
          <w:highlight w:val="none"/>
        </w:rPr>
        <w:t>Addition of cell configuration mapping for IOT NTN cases into Annex E,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 xml:space="preserve">5927 </w:t>
      </w:r>
      <w:r>
        <w:rPr>
          <w:rFonts w:hint="eastAsia" w:ascii="Arial" w:hAnsi="Arial" w:cs="Arial" w:eastAsiaTheme="minorEastAsia"/>
          <w:highlight w:val="none"/>
        </w:rPr>
        <w:t>Addition of new test case 13.1.1.1 for cell reselection in normal coverage,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 xml:space="preserve">5928 </w:t>
      </w:r>
      <w:r>
        <w:rPr>
          <w:rFonts w:hint="eastAsia" w:ascii="Arial" w:hAnsi="Arial" w:cs="Arial" w:eastAsiaTheme="minorEastAsia"/>
          <w:highlight w:val="none"/>
        </w:rPr>
        <w:t>Addition of new test case 13.1.1.2 for cell reselection in normal coverage with serving cell RRM measurement relaxation,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5929</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13.1.1.3 for cell reselection in normal coverage with UE specific DRX,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R5-235783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13.3.2.1 for NTN Random Access in normal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R5-23578</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13.3.2.2 for NTN Random Access in enhanced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R5-23578</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13.3.2.3 for NTN Random Access on Non-anchor Carrier in enhanced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R5-23578</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13.6.2.1 for NTN Downlink channel quality reporting accuracy under normal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w:t>
      </w:r>
      <w:r>
        <w:rPr>
          <w:rFonts w:hint="eastAsia" w:ascii="Arial" w:hAnsi="Arial" w:cs="Arial" w:eastAsiaTheme="minorEastAsia"/>
          <w:highlight w:val="none"/>
          <w:lang w:val="en-US" w:eastAsia="zh-CN"/>
        </w:rPr>
        <w:t>90</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13.6.2.2 for NTN Downlink channel quality reporting accuracy under enhanced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w:t>
      </w:r>
      <w:r>
        <w:rPr>
          <w:rFonts w:hint="eastAsia" w:ascii="Arial" w:hAnsi="Arial" w:cs="Arial" w:eastAsiaTheme="minorEastAsia"/>
          <w:highlight w:val="none"/>
          <w:lang w:val="en-US" w:eastAsia="zh-CN"/>
        </w:rPr>
        <w:t>91</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13.6.2.3 for NTN Downlink channel quality reporting accuracy on non-anchor carrier under normal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w:t>
      </w:r>
      <w:r>
        <w:rPr>
          <w:rFonts w:hint="eastAsia" w:ascii="Arial" w:hAnsi="Arial" w:cs="Arial" w:eastAsiaTheme="minorEastAsia"/>
          <w:highlight w:val="none"/>
          <w:lang w:val="en-US" w:eastAsia="zh-CN"/>
        </w:rPr>
        <w:t>92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13.6.2.4 for NTN Downlink channel quality reporting accuracy on non-anchor carrier under enhanced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w:t>
      </w:r>
      <w:r>
        <w:rPr>
          <w:rFonts w:hint="eastAsia" w:ascii="Arial" w:hAnsi="Arial" w:cs="Arial" w:eastAsiaTheme="minorEastAsia"/>
          <w:highlight w:val="none"/>
          <w:lang w:val="en-US" w:eastAsia="zh-CN"/>
        </w:rPr>
        <w:t>9</w:t>
      </w:r>
      <w:r>
        <w:rPr>
          <w:rFonts w:hint="eastAsia" w:ascii="Arial" w:hAnsi="Arial" w:cs="Arial" w:eastAsiaTheme="minorEastAsia"/>
          <w:highlight w:val="none"/>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13.6.2.5 for NTN Downlink channel quality reporting accuracy in RRC_CONNECTED under normal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w:t>
      </w:r>
      <w:r>
        <w:rPr>
          <w:rFonts w:hint="eastAsia" w:ascii="Arial" w:hAnsi="Arial" w:cs="Arial" w:eastAsiaTheme="minorEastAsia"/>
          <w:highlight w:val="none"/>
          <w:lang w:val="en-US" w:eastAsia="zh-CN"/>
        </w:rPr>
        <w:t>94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13.6.2.6 for NTN Downlink channel quality reporting accuracy in RRC_CONNECTED under enhanced coverage,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R5-235784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13.3.1.1 ReEST under normal coverage,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R5-23578</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13.3.1.2 ReEST under enhanced coverage,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R5-235183</w:t>
      </w:r>
      <w:r>
        <w:rPr>
          <w:rFonts w:ascii="Arial" w:hAnsi="Arial" w:cs="Arial" w:eastAsiaTheme="minorEastAsia"/>
          <w:highlight w:val="none"/>
          <w:lang w:val="en-US"/>
        </w:rPr>
        <w:t xml:space="preserve"> </w:t>
      </w:r>
      <w:r>
        <w:rPr>
          <w:rFonts w:hint="eastAsia" w:ascii="Arial" w:hAnsi="Arial" w:cs="Arial" w:eastAsiaTheme="minorEastAsia"/>
          <w:highlight w:val="none"/>
        </w:rPr>
        <w:t>New Annex I.8 definition for High level test procedure for SAN RRM tests, Keysight Technologies UK Ltd</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.521-</w:t>
      </w:r>
      <w:r>
        <w:rPr>
          <w:rFonts w:ascii="Arial" w:hAnsi="Arial" w:eastAsia="宋体" w:cs="Arial"/>
          <w:b/>
          <w:highlight w:val="none"/>
          <w:lang w:val="en-US"/>
        </w:rPr>
        <w:t>4</w:t>
      </w:r>
      <w:r>
        <w:rPr>
          <w:rFonts w:hint="eastAsia" w:ascii="Arial" w:hAnsi="Arial" w:eastAsia="宋体" w:cs="Arial"/>
          <w:b/>
          <w:highlight w:val="none"/>
        </w:rPr>
        <w:t xml:space="preserve"> </w:t>
      </w:r>
      <w:r>
        <w:rPr>
          <w:rFonts w:ascii="Arial" w:hAnsi="Arial" w:eastAsia="宋体" w:cs="Arial"/>
          <w:b/>
          <w:highlight w:val="none"/>
          <w:lang w:val="en-US"/>
        </w:rPr>
        <w:t>p</w:t>
      </w:r>
      <w:r>
        <w:rPr>
          <w:rFonts w:hint="eastAsia" w:ascii="Arial" w:hAnsi="Arial" w:eastAsia="宋体" w:cs="Arial"/>
          <w:b/>
          <w:highlight w:val="none"/>
        </w:rPr>
        <w:t>CRs</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R5-233923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clause 8.1 general description for NTN test,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R5-23392</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8.2.1.1.1 eMTC PDSCH test,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R5-23392</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8.3.1.1.1 NB-IoT NPDSCH test under NTN fading condition,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R5-23392</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8.3.1.1.2 NB-IoT NPDSCH test,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R5-23392</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8.3.1.1.3 NB-IoT NPDSCH test for NB2 only,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R5-235757</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8.3.1.2.1 NB-IoT NPDCCH test, MediaTek Beijing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R5-234189</w:t>
      </w:r>
      <w:r>
        <w:rPr>
          <w:rFonts w:ascii="Arial" w:hAnsi="Arial" w:cs="Arial" w:eastAsiaTheme="minorEastAsia"/>
          <w:highlight w:val="none"/>
          <w:lang w:val="en-US"/>
        </w:rPr>
        <w:t xml:space="preserve"> </w:t>
      </w:r>
      <w:r>
        <w:rPr>
          <w:rFonts w:hint="eastAsia" w:ascii="Arial" w:hAnsi="Arial" w:cs="Arial" w:eastAsiaTheme="minorEastAsia"/>
          <w:highlight w:val="none"/>
        </w:rPr>
        <w:t>NTN NB-IoT REFSENS test case definition,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R5-234231</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A-MPR NS value in 6.2A.3,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A-MPR NS value in 6.2B.3,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6.4A.2.1 Error Vector Magnitude (EVM) for category M1,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6.4A.2.2 Carrier leakage for category M1,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6.4A.2.3 In-band emissions for non allocated RB for category M1,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6.4A.2.4 EVM equalizer spectrum flatness for category M1,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R5-23423</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6.4B.2.1 Error Vector Magnitude (EVM) for Category NB1 and NB2,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R5-234245</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6.4B.2.2 Carrier leakage for Category NB1 and NB2,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R5-23424</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6.4B.2.3 In-band emissions for Category NB1 and NB2,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R5-23424</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6.5A.2 Occupied bandwidth for category M1,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R5-23424</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6.5A.3.2 Spectrum emission mask,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R5-23424</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6.5A.3.4 Adjacent Channel Leakage Ratio for category M1,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R5-234250</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6.5A.4.2 Transmitter Spurious emissions,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R5-23425</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6.5A.4.3 Spurious emission band UE co-existence,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R5-23425</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6.5A.4.4 Additional spurious emissions,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R5-23425</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6.5B.2 Occupied bandwidth for category NB1 and NB2,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R5-234258</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6.5B.3.2 Spectrum emission mask,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R5-23425</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6.5B.3.4 Adjacent Channel Leakage Ratio for category NB1 and NB2,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R5-234260</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6.5B.4.2 Transmitter Spurious emissions,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R5-23426</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6.5B.4.3 Spurious emission band UE co-existence,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R5-23426</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6.5B.4.4 Additional spurious emissions,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R5-23426</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6.6B  Transmit intermodulation for category NB1 and NB2, MediaTek (Wuhan)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R5-234758</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TC 6.3A.4.3 Aggregate power control tolerance for UE category M1,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R5-235761</w:t>
      </w:r>
      <w:r>
        <w:rPr>
          <w:rFonts w:ascii="Arial" w:hAnsi="Arial" w:cs="Arial" w:eastAsiaTheme="minorEastAsia"/>
          <w:highlight w:val="none"/>
          <w:lang w:val="en-US"/>
        </w:rPr>
        <w:t xml:space="preserve"> </w:t>
      </w:r>
      <w:r>
        <w:rPr>
          <w:rFonts w:hint="eastAsia" w:ascii="Arial" w:hAnsi="Arial" w:cs="Arial" w:eastAsiaTheme="minorEastAsia"/>
          <w:highlight w:val="none"/>
        </w:rPr>
        <w:t>Editorial changes in References of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R5-23576</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A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R5-234761</w:t>
      </w:r>
      <w:r>
        <w:rPr>
          <w:rFonts w:ascii="Arial" w:hAnsi="Arial" w:cs="Arial" w:eastAsiaTheme="minorEastAsia"/>
          <w:highlight w:val="none"/>
          <w:lang w:val="en-US"/>
        </w:rPr>
        <w:t xml:space="preserve"> </w:t>
      </w:r>
      <w:r>
        <w:rPr>
          <w:rFonts w:hint="eastAsia" w:ascii="Arial" w:hAnsi="Arial" w:cs="Arial" w:eastAsiaTheme="minorEastAsia"/>
          <w:highlight w:val="none"/>
        </w:rPr>
        <w:t>Revise Annex B into Annex L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R5-235774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B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C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D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5942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E and Annex F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R5-235777</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G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H and Annex I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R5-23577</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Addition of Annex J and Annex K in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5455</w:t>
      </w:r>
      <w:r>
        <w:rPr>
          <w:rFonts w:ascii="Arial" w:hAnsi="Arial" w:cs="Arial" w:eastAsiaTheme="minorEastAsia"/>
          <w:highlight w:val="none"/>
          <w:lang w:val="en-US"/>
        </w:rPr>
        <w:t xml:space="preserve"> </w:t>
      </w:r>
      <w:r>
        <w:rPr>
          <w:rFonts w:hint="eastAsia" w:ascii="Arial" w:hAnsi="Arial" w:cs="Arial" w:eastAsiaTheme="minorEastAsia"/>
          <w:highlight w:val="none"/>
        </w:rPr>
        <w:t>Clarifications to 36.521-4,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R5-235943</w:t>
      </w:r>
      <w:r>
        <w:rPr>
          <w:rFonts w:ascii="Arial" w:hAnsi="Arial" w:cs="Arial" w:eastAsiaTheme="minorEastAsia"/>
          <w:highlight w:val="none"/>
          <w:lang w:val="en-US"/>
        </w:rPr>
        <w:t xml:space="preserve"> </w:t>
      </w:r>
      <w:r>
        <w:rPr>
          <w:rFonts w:hint="eastAsia" w:ascii="Arial" w:hAnsi="Arial" w:cs="Arial" w:eastAsiaTheme="minorEastAsia"/>
          <w:highlight w:val="none"/>
        </w:rPr>
        <w:t>Initial conditions update for multiple test cases,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R5-235944</w:t>
      </w:r>
      <w:r>
        <w:rPr>
          <w:rFonts w:ascii="Arial" w:hAnsi="Arial" w:cs="Arial" w:eastAsiaTheme="minorEastAsia"/>
          <w:highlight w:val="none"/>
          <w:lang w:val="en-US"/>
        </w:rPr>
        <w:t xml:space="preserve"> </w:t>
      </w:r>
      <w:r>
        <w:rPr>
          <w:rFonts w:hint="eastAsia" w:ascii="Arial" w:hAnsi="Arial" w:cs="Arial" w:eastAsiaTheme="minorEastAsia"/>
          <w:highlight w:val="none"/>
        </w:rPr>
        <w:t>Editor's note clean-up, Keysight Technologies UK Ltd</w:t>
      </w:r>
    </w:p>
    <w:p>
      <w:pPr>
        <w:numPr>
          <w:ilvl w:val="0"/>
          <w:numId w:val="10"/>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eastAsiaTheme="minorEastAsia"/>
          <w:highlight w:val="none"/>
        </w:rPr>
        <w:t>R5-234757</w:t>
      </w:r>
      <w:r>
        <w:rPr>
          <w:rFonts w:ascii="Arial" w:hAnsi="Arial" w:cs="Arial" w:eastAsiaTheme="minorEastAsia"/>
          <w:highlight w:val="none"/>
          <w:lang w:val="en-US"/>
        </w:rPr>
        <w:t xml:space="preserve"> </w:t>
      </w:r>
      <w:r>
        <w:rPr>
          <w:rFonts w:hint="eastAsia" w:ascii="Arial" w:hAnsi="Arial" w:cs="Arial" w:eastAsiaTheme="minorEastAsia"/>
          <w:highlight w:val="none"/>
        </w:rPr>
        <w:t>Draft TS 36.521-4 v0.</w:t>
      </w:r>
      <w:r>
        <w:rPr>
          <w:rFonts w:hint="eastAsia" w:ascii="Arial" w:hAnsi="Arial" w:cs="Arial" w:eastAsiaTheme="minorEastAsia"/>
          <w:highlight w:val="none"/>
          <w:lang w:val="en-US" w:eastAsia="zh-CN"/>
        </w:rPr>
        <w:t>3</w:t>
      </w:r>
      <w:r>
        <w:rPr>
          <w:rFonts w:hint="eastAsia" w:ascii="Arial" w:hAnsi="Arial" w:cs="Arial" w:eastAsiaTheme="minorEastAsia"/>
          <w:highlight w:val="none"/>
        </w:rPr>
        <w:t>.0, CMCC</w:t>
      </w:r>
    </w:p>
    <w:p>
      <w:pPr>
        <w:tabs>
          <w:tab w:val="left" w:pos="567"/>
        </w:tabs>
        <w:overflowPunct/>
        <w:autoSpaceDE/>
        <w:autoSpaceDN/>
        <w:snapToGrid w:val="0"/>
        <w:spacing w:after="0"/>
        <w:textAlignment w:val="auto"/>
        <w:rPr>
          <w:rFonts w:ascii="Arial" w:hAnsi="Arial" w:cs="Arial" w:eastAsiaTheme="minorEastAsia"/>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ascii="Arial" w:hAnsi="Arial" w:eastAsia="宋体" w:cs="Arial"/>
          <w:b/>
          <w:highlight w:val="none"/>
          <w:lang w:val="en-US"/>
        </w:rPr>
        <w:t>905</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R5-234769</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Update of IoT NTN test point analysis</w:t>
      </w:r>
      <w:r>
        <w:rPr>
          <w:rFonts w:ascii="Arial" w:hAnsi="Arial" w:cs="Arial" w:eastAsiaTheme="minorEastAsia"/>
          <w:highlight w:val="none"/>
          <w:lang w:val="en-US"/>
        </w:rPr>
        <w:t>, CMCC</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44658"/>
    <w:multiLevelType w:val="singleLevel"/>
    <w:tmpl w:val="9BA44658"/>
    <w:lvl w:ilvl="0" w:tentative="0">
      <w:start w:val="1"/>
      <w:numFmt w:val="decimal"/>
      <w:lvlText w:val="[%1]"/>
      <w:lvlJc w:val="left"/>
      <w:rPr>
        <w:b w:val="0"/>
      </w:rPr>
    </w:lvl>
  </w:abstractNum>
  <w:abstractNum w:abstractNumId="1">
    <w:nsid w:val="B4452FAB"/>
    <w:multiLevelType w:val="singleLevel"/>
    <w:tmpl w:val="B4452FAB"/>
    <w:lvl w:ilvl="0" w:tentative="0">
      <w:start w:val="1"/>
      <w:numFmt w:val="decimal"/>
      <w:lvlText w:val="[%1]"/>
      <w:lvlJc w:val="left"/>
      <w:rPr>
        <w:b w:val="0"/>
      </w:rPr>
    </w:lvl>
  </w:abstractNum>
  <w:abstractNum w:abstractNumId="2">
    <w:nsid w:val="BBB2A7C3"/>
    <w:multiLevelType w:val="singleLevel"/>
    <w:tmpl w:val="BBB2A7C3"/>
    <w:lvl w:ilvl="0" w:tentative="0">
      <w:start w:val="1"/>
      <w:numFmt w:val="decimal"/>
      <w:lvlText w:val="[%1]"/>
      <w:lvlJc w:val="left"/>
      <w:rPr>
        <w:b w:val="0"/>
      </w:rPr>
    </w:lvl>
  </w:abstractNum>
  <w:abstractNum w:abstractNumId="3">
    <w:nsid w:val="E6C72CB5"/>
    <w:multiLevelType w:val="singleLevel"/>
    <w:tmpl w:val="E6C72CB5"/>
    <w:lvl w:ilvl="0" w:tentative="0">
      <w:start w:val="1"/>
      <w:numFmt w:val="decimal"/>
      <w:lvlText w:val="[%1]"/>
      <w:lvlJc w:val="left"/>
      <w:rPr>
        <w:b w:val="0"/>
      </w:rPr>
    </w:lvl>
  </w:abstractNum>
  <w:abstractNum w:abstractNumId="4">
    <w:nsid w:val="FCA84EEE"/>
    <w:multiLevelType w:val="singleLevel"/>
    <w:tmpl w:val="FCA84EEE"/>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14024BA"/>
    <w:multiLevelType w:val="singleLevel"/>
    <w:tmpl w:val="614024BA"/>
    <w:lvl w:ilvl="0" w:tentative="0">
      <w:start w:val="1"/>
      <w:numFmt w:val="decimal"/>
      <w:lvlText w:val="[%1]"/>
      <w:lvlJc w:val="left"/>
      <w:rPr>
        <w:b w:val="0"/>
      </w:rPr>
    </w:lvl>
  </w:abstractNum>
  <w:abstractNum w:abstractNumId="9">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10"/>
  </w:num>
  <w:num w:numId="4">
    <w:abstractNumId w:val="5"/>
  </w:num>
  <w:num w:numId="5">
    <w:abstractNumId w:val="7"/>
  </w:num>
  <w:num w:numId="6">
    <w:abstractNumId w:val="8"/>
  </w:num>
  <w:num w:numId="7">
    <w:abstractNumId w:val="1"/>
  </w:num>
  <w:num w:numId="8">
    <w:abstractNumId w:val="0"/>
  </w:num>
  <w:num w:numId="9">
    <w:abstractNumId w:val="2"/>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0"/>
  <w:doNotDisplayPageBoundaries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20E27B3"/>
    <w:rsid w:val="032C5770"/>
    <w:rsid w:val="0352627C"/>
    <w:rsid w:val="03FC0C17"/>
    <w:rsid w:val="04137C88"/>
    <w:rsid w:val="043750F8"/>
    <w:rsid w:val="045042DE"/>
    <w:rsid w:val="046F64A5"/>
    <w:rsid w:val="04B02D72"/>
    <w:rsid w:val="06400C05"/>
    <w:rsid w:val="06C62B3E"/>
    <w:rsid w:val="0745663A"/>
    <w:rsid w:val="07683368"/>
    <w:rsid w:val="082554D9"/>
    <w:rsid w:val="0867547F"/>
    <w:rsid w:val="08AF5136"/>
    <w:rsid w:val="08B909EB"/>
    <w:rsid w:val="08C0303F"/>
    <w:rsid w:val="08CA4C78"/>
    <w:rsid w:val="08F73AFF"/>
    <w:rsid w:val="0A934B7D"/>
    <w:rsid w:val="0AB16165"/>
    <w:rsid w:val="0ADC0554"/>
    <w:rsid w:val="0AEC1FBC"/>
    <w:rsid w:val="0B8C18E5"/>
    <w:rsid w:val="0BD93F8C"/>
    <w:rsid w:val="0C4247A1"/>
    <w:rsid w:val="0C437935"/>
    <w:rsid w:val="0C52731B"/>
    <w:rsid w:val="0CC143A0"/>
    <w:rsid w:val="0CCE7DF8"/>
    <w:rsid w:val="0D4F1A3A"/>
    <w:rsid w:val="0D6301B6"/>
    <w:rsid w:val="0DDB6ECB"/>
    <w:rsid w:val="0DDD0F23"/>
    <w:rsid w:val="0E041CB4"/>
    <w:rsid w:val="0E050F30"/>
    <w:rsid w:val="0E896CE6"/>
    <w:rsid w:val="10211C2E"/>
    <w:rsid w:val="108D73EF"/>
    <w:rsid w:val="10B506EB"/>
    <w:rsid w:val="10F52B6E"/>
    <w:rsid w:val="11614015"/>
    <w:rsid w:val="11B11ADC"/>
    <w:rsid w:val="11B6439C"/>
    <w:rsid w:val="12230FDF"/>
    <w:rsid w:val="129D59D4"/>
    <w:rsid w:val="12EB6ADC"/>
    <w:rsid w:val="13C244F2"/>
    <w:rsid w:val="13CE75C4"/>
    <w:rsid w:val="140E52AD"/>
    <w:rsid w:val="143603B6"/>
    <w:rsid w:val="14B4509C"/>
    <w:rsid w:val="151644D5"/>
    <w:rsid w:val="15324AB7"/>
    <w:rsid w:val="157E4282"/>
    <w:rsid w:val="160C3730"/>
    <w:rsid w:val="16182EEA"/>
    <w:rsid w:val="171666D4"/>
    <w:rsid w:val="17E16027"/>
    <w:rsid w:val="17FA09E4"/>
    <w:rsid w:val="18120651"/>
    <w:rsid w:val="18C33C48"/>
    <w:rsid w:val="191B541E"/>
    <w:rsid w:val="199D5748"/>
    <w:rsid w:val="19DD70C1"/>
    <w:rsid w:val="19F41590"/>
    <w:rsid w:val="1A7172E1"/>
    <w:rsid w:val="1A78680F"/>
    <w:rsid w:val="1AB27FD4"/>
    <w:rsid w:val="1B537FAB"/>
    <w:rsid w:val="1B687D51"/>
    <w:rsid w:val="1BCB61E8"/>
    <w:rsid w:val="1BEE16E9"/>
    <w:rsid w:val="1C100C61"/>
    <w:rsid w:val="1C6542B2"/>
    <w:rsid w:val="1C6A4BF8"/>
    <w:rsid w:val="1D1D3289"/>
    <w:rsid w:val="1DB22A9C"/>
    <w:rsid w:val="1E2106D1"/>
    <w:rsid w:val="1E7D2085"/>
    <w:rsid w:val="1E8D1AAC"/>
    <w:rsid w:val="1EBE6975"/>
    <w:rsid w:val="1F646F04"/>
    <w:rsid w:val="1F96173A"/>
    <w:rsid w:val="1F9D0E06"/>
    <w:rsid w:val="1FBD1ABA"/>
    <w:rsid w:val="1FD55AE8"/>
    <w:rsid w:val="209D5060"/>
    <w:rsid w:val="20CB2FF0"/>
    <w:rsid w:val="20E950C5"/>
    <w:rsid w:val="21344B4A"/>
    <w:rsid w:val="213E2789"/>
    <w:rsid w:val="21AC235B"/>
    <w:rsid w:val="21D32B8D"/>
    <w:rsid w:val="21F962B2"/>
    <w:rsid w:val="22FC06E3"/>
    <w:rsid w:val="24057FFB"/>
    <w:rsid w:val="24140B3E"/>
    <w:rsid w:val="259957EC"/>
    <w:rsid w:val="260B6710"/>
    <w:rsid w:val="26A42548"/>
    <w:rsid w:val="26D9199B"/>
    <w:rsid w:val="272B7C0B"/>
    <w:rsid w:val="27452B8C"/>
    <w:rsid w:val="275A7663"/>
    <w:rsid w:val="276A1428"/>
    <w:rsid w:val="279C4099"/>
    <w:rsid w:val="289A71A7"/>
    <w:rsid w:val="29083E60"/>
    <w:rsid w:val="29B63A0A"/>
    <w:rsid w:val="2A1D1B25"/>
    <w:rsid w:val="2AA3517C"/>
    <w:rsid w:val="2AEF25C6"/>
    <w:rsid w:val="2B025C05"/>
    <w:rsid w:val="2B0262B8"/>
    <w:rsid w:val="2CEA3B3F"/>
    <w:rsid w:val="2D102550"/>
    <w:rsid w:val="2D171859"/>
    <w:rsid w:val="2E2C3250"/>
    <w:rsid w:val="2ED83DA6"/>
    <w:rsid w:val="2EF06FB2"/>
    <w:rsid w:val="2EF30C78"/>
    <w:rsid w:val="2F7E02C0"/>
    <w:rsid w:val="2F89581B"/>
    <w:rsid w:val="2FBD3F29"/>
    <w:rsid w:val="303C7BDB"/>
    <w:rsid w:val="30AA70B7"/>
    <w:rsid w:val="30BF083E"/>
    <w:rsid w:val="316F7BD4"/>
    <w:rsid w:val="31EA6791"/>
    <w:rsid w:val="32292413"/>
    <w:rsid w:val="32B75B6C"/>
    <w:rsid w:val="34713B2D"/>
    <w:rsid w:val="3488303F"/>
    <w:rsid w:val="34C21990"/>
    <w:rsid w:val="350B369B"/>
    <w:rsid w:val="359E14C1"/>
    <w:rsid w:val="360A789F"/>
    <w:rsid w:val="362430B9"/>
    <w:rsid w:val="365F2F17"/>
    <w:rsid w:val="366C1F64"/>
    <w:rsid w:val="37192BB2"/>
    <w:rsid w:val="37FD0684"/>
    <w:rsid w:val="39FB4108"/>
    <w:rsid w:val="3B06367F"/>
    <w:rsid w:val="3B4E19A8"/>
    <w:rsid w:val="3B7518FD"/>
    <w:rsid w:val="3BBD2E75"/>
    <w:rsid w:val="3BD7776B"/>
    <w:rsid w:val="3C1267DA"/>
    <w:rsid w:val="3E051C88"/>
    <w:rsid w:val="3ECC4BE8"/>
    <w:rsid w:val="3F816D84"/>
    <w:rsid w:val="40192383"/>
    <w:rsid w:val="402F1A51"/>
    <w:rsid w:val="4041787C"/>
    <w:rsid w:val="421F2EEA"/>
    <w:rsid w:val="42D52692"/>
    <w:rsid w:val="42FC2DBB"/>
    <w:rsid w:val="43B1111A"/>
    <w:rsid w:val="441E0FD5"/>
    <w:rsid w:val="44404107"/>
    <w:rsid w:val="447D6A17"/>
    <w:rsid w:val="449D7185"/>
    <w:rsid w:val="45AE7D7B"/>
    <w:rsid w:val="46186BB2"/>
    <w:rsid w:val="463251D1"/>
    <w:rsid w:val="46D41D51"/>
    <w:rsid w:val="478D5278"/>
    <w:rsid w:val="47D74267"/>
    <w:rsid w:val="486E2258"/>
    <w:rsid w:val="48811037"/>
    <w:rsid w:val="48CE65F4"/>
    <w:rsid w:val="490B77B8"/>
    <w:rsid w:val="492A3986"/>
    <w:rsid w:val="49956E69"/>
    <w:rsid w:val="49FE24F4"/>
    <w:rsid w:val="4A016A84"/>
    <w:rsid w:val="4A1E3DC9"/>
    <w:rsid w:val="4AB56D9A"/>
    <w:rsid w:val="4B0F7224"/>
    <w:rsid w:val="4C6E4F06"/>
    <w:rsid w:val="4E422279"/>
    <w:rsid w:val="4E5530CC"/>
    <w:rsid w:val="4EFD25E7"/>
    <w:rsid w:val="4F977586"/>
    <w:rsid w:val="4FB12248"/>
    <w:rsid w:val="506811F0"/>
    <w:rsid w:val="50E44BFB"/>
    <w:rsid w:val="51323E6D"/>
    <w:rsid w:val="5172486F"/>
    <w:rsid w:val="517331D1"/>
    <w:rsid w:val="518E6791"/>
    <w:rsid w:val="51EB2461"/>
    <w:rsid w:val="51FF10C0"/>
    <w:rsid w:val="53247EF5"/>
    <w:rsid w:val="53A51416"/>
    <w:rsid w:val="53D71BAD"/>
    <w:rsid w:val="540E6C5A"/>
    <w:rsid w:val="54A74EB5"/>
    <w:rsid w:val="54D17422"/>
    <w:rsid w:val="54DA0AD6"/>
    <w:rsid w:val="55DF79A7"/>
    <w:rsid w:val="564E5D25"/>
    <w:rsid w:val="565D4D39"/>
    <w:rsid w:val="56634B44"/>
    <w:rsid w:val="56931BEC"/>
    <w:rsid w:val="56CE6A8E"/>
    <w:rsid w:val="570023F4"/>
    <w:rsid w:val="57740818"/>
    <w:rsid w:val="58DF5C23"/>
    <w:rsid w:val="595371D3"/>
    <w:rsid w:val="59AA2AE2"/>
    <w:rsid w:val="59C23FFD"/>
    <w:rsid w:val="5A0E3BCE"/>
    <w:rsid w:val="5A466BC8"/>
    <w:rsid w:val="5A81521A"/>
    <w:rsid w:val="5A85323A"/>
    <w:rsid w:val="5ACC0548"/>
    <w:rsid w:val="5B980404"/>
    <w:rsid w:val="5BDB61ED"/>
    <w:rsid w:val="5C147E54"/>
    <w:rsid w:val="5D2D156D"/>
    <w:rsid w:val="5E8250F4"/>
    <w:rsid w:val="5EA178AA"/>
    <w:rsid w:val="5EA615D3"/>
    <w:rsid w:val="5F0A5107"/>
    <w:rsid w:val="6013139C"/>
    <w:rsid w:val="60291E96"/>
    <w:rsid w:val="61204966"/>
    <w:rsid w:val="61C12377"/>
    <w:rsid w:val="61CF1286"/>
    <w:rsid w:val="620A5BE8"/>
    <w:rsid w:val="6297146B"/>
    <w:rsid w:val="62AE701F"/>
    <w:rsid w:val="62B07544"/>
    <w:rsid w:val="63092CDD"/>
    <w:rsid w:val="63501A48"/>
    <w:rsid w:val="63E05410"/>
    <w:rsid w:val="63EC1DBB"/>
    <w:rsid w:val="64A261C1"/>
    <w:rsid w:val="65B958B8"/>
    <w:rsid w:val="65DB6AA5"/>
    <w:rsid w:val="65DB6F70"/>
    <w:rsid w:val="661E3257"/>
    <w:rsid w:val="66383744"/>
    <w:rsid w:val="664916BB"/>
    <w:rsid w:val="66A45FF8"/>
    <w:rsid w:val="67B963F3"/>
    <w:rsid w:val="67BE2432"/>
    <w:rsid w:val="67CD70C1"/>
    <w:rsid w:val="685A2E59"/>
    <w:rsid w:val="6A5D1B30"/>
    <w:rsid w:val="6A7F6611"/>
    <w:rsid w:val="6AA83621"/>
    <w:rsid w:val="6B2B4ABB"/>
    <w:rsid w:val="6BCA0AC3"/>
    <w:rsid w:val="6BF016C9"/>
    <w:rsid w:val="6BF72930"/>
    <w:rsid w:val="6C154805"/>
    <w:rsid w:val="6C345695"/>
    <w:rsid w:val="6D9B0F82"/>
    <w:rsid w:val="6DB872A1"/>
    <w:rsid w:val="6DC17F95"/>
    <w:rsid w:val="6E106458"/>
    <w:rsid w:val="6E114605"/>
    <w:rsid w:val="6E442EAE"/>
    <w:rsid w:val="6EFA4222"/>
    <w:rsid w:val="6F1E7073"/>
    <w:rsid w:val="6F6B3833"/>
    <w:rsid w:val="6FD927D6"/>
    <w:rsid w:val="6FF45285"/>
    <w:rsid w:val="6FF81483"/>
    <w:rsid w:val="70460C14"/>
    <w:rsid w:val="70A1776C"/>
    <w:rsid w:val="70F968C9"/>
    <w:rsid w:val="711E0C0B"/>
    <w:rsid w:val="716D30CB"/>
    <w:rsid w:val="719256A3"/>
    <w:rsid w:val="72132F1B"/>
    <w:rsid w:val="724D391D"/>
    <w:rsid w:val="72667A54"/>
    <w:rsid w:val="7277686B"/>
    <w:rsid w:val="727B7B76"/>
    <w:rsid w:val="731871FF"/>
    <w:rsid w:val="73B27495"/>
    <w:rsid w:val="73D13601"/>
    <w:rsid w:val="73FB3929"/>
    <w:rsid w:val="749B0403"/>
    <w:rsid w:val="749F2B1B"/>
    <w:rsid w:val="74B2398B"/>
    <w:rsid w:val="74D014A3"/>
    <w:rsid w:val="74FE75C0"/>
    <w:rsid w:val="751226C4"/>
    <w:rsid w:val="75F973DD"/>
    <w:rsid w:val="77B34C9B"/>
    <w:rsid w:val="793C6AE9"/>
    <w:rsid w:val="79404263"/>
    <w:rsid w:val="79E91CF9"/>
    <w:rsid w:val="7A651673"/>
    <w:rsid w:val="7AD97A34"/>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21</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Danni SONG(CMCC)</cp:lastModifiedBy>
  <dcterms:modified xsi:type="dcterms:W3CDTF">2023-09-01T15:41:41Z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